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A35CFB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3B2D98" w:rsidRPr="003B2D98">
        <w:rPr>
          <w:b/>
          <w:szCs w:val="28"/>
        </w:rPr>
        <w:t xml:space="preserve">острых отравлениях препаратами, действующими преимущественно на </w:t>
      </w:r>
      <w:proofErr w:type="spellStart"/>
      <w:proofErr w:type="gramStart"/>
      <w:r w:rsidR="003B2D98" w:rsidRPr="003B2D98">
        <w:rPr>
          <w:b/>
          <w:szCs w:val="28"/>
        </w:rPr>
        <w:t>сердечно-сосудистую</w:t>
      </w:r>
      <w:proofErr w:type="spellEnd"/>
      <w:proofErr w:type="gramEnd"/>
      <w:r w:rsidR="003B2D98" w:rsidRPr="003B2D98">
        <w:rPr>
          <w:b/>
          <w:szCs w:val="28"/>
        </w:rPr>
        <w:t xml:space="preserve"> систему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10448F" w:rsidRPr="00A774F9" w:rsidTr="00B6646D">
        <w:tc>
          <w:tcPr>
            <w:tcW w:w="0" w:type="auto"/>
          </w:tcPr>
          <w:p w:rsidR="0010448F" w:rsidRPr="003B2D98" w:rsidRDefault="0010448F" w:rsidP="0049169E">
            <w:pPr>
              <w:jc w:val="both"/>
              <w:rPr>
                <w:szCs w:val="28"/>
              </w:rPr>
            </w:pPr>
            <w:r w:rsidRPr="003B2D98">
              <w:rPr>
                <w:szCs w:val="28"/>
              </w:rPr>
              <w:t>T4</w:t>
            </w:r>
            <w:r w:rsidR="003B2D98" w:rsidRPr="003B2D98">
              <w:rPr>
                <w:szCs w:val="28"/>
              </w:rPr>
              <w:t>6</w:t>
            </w:r>
          </w:p>
        </w:tc>
        <w:tc>
          <w:tcPr>
            <w:tcW w:w="10420" w:type="dxa"/>
          </w:tcPr>
          <w:p w:rsidR="003B2D98" w:rsidRPr="003B2D98" w:rsidRDefault="003B2D98" w:rsidP="003B2D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B2D98">
              <w:rPr>
                <w:rFonts w:ascii="Times New Roman" w:hAnsi="Times New Roman" w:cs="Times New Roman"/>
                <w:sz w:val="28"/>
                <w:szCs w:val="28"/>
              </w:rPr>
              <w:t xml:space="preserve">Отравление препаратами,  действующими  преимущественно  </w:t>
            </w:r>
            <w:proofErr w:type="gramStart"/>
            <w:r w:rsidRPr="003B2D98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10448F" w:rsidRPr="003B2D98" w:rsidRDefault="003B2D98" w:rsidP="003B2D9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2D98">
              <w:rPr>
                <w:rFonts w:ascii="Times New Roman" w:hAnsi="Times New Roman" w:cs="Times New Roman"/>
                <w:sz w:val="28"/>
                <w:szCs w:val="28"/>
              </w:rPr>
              <w:t>сердечно - сосудистую систему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105ACC" w:rsidRPr="00A774F9" w:rsidTr="00B20BB2">
        <w:trPr>
          <w:cantSplit/>
        </w:trPr>
        <w:tc>
          <w:tcPr>
            <w:tcW w:w="5000" w:type="pct"/>
            <w:gridSpan w:val="4"/>
          </w:tcPr>
          <w:p w:rsidR="00105ACC" w:rsidRPr="00CF530C" w:rsidRDefault="00105ACC" w:rsidP="00B20BB2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105ACC" w:rsidRPr="00A774F9" w:rsidTr="00B20BB2">
        <w:trPr>
          <w:cantSplit/>
        </w:trPr>
        <w:tc>
          <w:tcPr>
            <w:tcW w:w="633" w:type="pct"/>
          </w:tcPr>
          <w:p w:rsidR="00105ACC" w:rsidRPr="009B29C2" w:rsidRDefault="00105ACC" w:rsidP="00B20BB2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105ACC" w:rsidRPr="004015F6" w:rsidRDefault="00105ACC" w:rsidP="00B20BB2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105ACC" w:rsidRPr="004015F6" w:rsidRDefault="00105ACC" w:rsidP="00B20BB2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105ACC" w:rsidRPr="004015F6" w:rsidRDefault="00105ACC" w:rsidP="00B20BB2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105ACC" w:rsidRPr="00A774F9" w:rsidTr="00B20BB2">
        <w:trPr>
          <w:cantSplit/>
          <w:trHeight w:val="226"/>
        </w:trPr>
        <w:tc>
          <w:tcPr>
            <w:tcW w:w="633" w:type="pct"/>
          </w:tcPr>
          <w:p w:rsidR="00105ACC" w:rsidRPr="00A774F9" w:rsidRDefault="00105ACC" w:rsidP="00B20BB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105ACC" w:rsidRPr="000603BA" w:rsidRDefault="00105ACC" w:rsidP="00B20BB2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105ACC" w:rsidRPr="003627B0" w:rsidRDefault="00105ACC" w:rsidP="00FC33D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FC33D5">
              <w:rPr>
                <w:szCs w:val="28"/>
              </w:rPr>
              <w:t>2</w:t>
            </w:r>
          </w:p>
        </w:tc>
        <w:tc>
          <w:tcPr>
            <w:tcW w:w="633" w:type="pct"/>
          </w:tcPr>
          <w:p w:rsidR="00105ACC" w:rsidRPr="00A774F9" w:rsidRDefault="00105ACC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105ACC" w:rsidRDefault="00105AC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3B2D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B2D98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3B2D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3B2D98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10448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FC33D5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105ACC" w:rsidRPr="00A774F9" w:rsidTr="00DE06CA">
        <w:trPr>
          <w:cantSplit/>
        </w:trPr>
        <w:tc>
          <w:tcPr>
            <w:tcW w:w="460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5ACC" w:rsidRPr="00605B4D" w:rsidRDefault="00105ACC" w:rsidP="003B2D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5ACC" w:rsidRPr="00A774F9" w:rsidTr="00DE06CA">
        <w:trPr>
          <w:cantSplit/>
        </w:trPr>
        <w:tc>
          <w:tcPr>
            <w:tcW w:w="460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5ACC" w:rsidRPr="00A774F9" w:rsidRDefault="00105A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05ACC" w:rsidRPr="00605B4D" w:rsidRDefault="00DA0ED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105ACC" w:rsidRPr="00605B4D" w:rsidRDefault="00105AC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6C77E9" w:rsidRPr="00A774F9" w:rsidTr="00DE06CA">
        <w:trPr>
          <w:cantSplit/>
        </w:trPr>
        <w:tc>
          <w:tcPr>
            <w:tcW w:w="460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A03FA</w:t>
            </w:r>
          </w:p>
        </w:tc>
        <w:tc>
          <w:tcPr>
            <w:tcW w:w="1056" w:type="pct"/>
          </w:tcPr>
          <w:p w:rsidR="006C77E9" w:rsidRPr="00911EFF" w:rsidRDefault="006C77E9" w:rsidP="00B20BB2">
            <w:pPr>
              <w:spacing w:after="0" w:line="240" w:lineRule="auto"/>
              <w:rPr>
                <w:szCs w:val="28"/>
              </w:rPr>
            </w:pPr>
            <w:r w:rsidRPr="00911EFF">
              <w:rPr>
                <w:szCs w:val="28"/>
              </w:rPr>
              <w:t>Стимуляторы моторики желудочно-кишечного тракта</w:t>
            </w:r>
          </w:p>
        </w:tc>
        <w:tc>
          <w:tcPr>
            <w:tcW w:w="1385" w:type="pct"/>
          </w:tcPr>
          <w:p w:rsidR="006C77E9" w:rsidRPr="00911EFF" w:rsidRDefault="006C77E9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C77E9" w:rsidRPr="00A774F9" w:rsidTr="00DE06CA">
        <w:trPr>
          <w:cantSplit/>
        </w:trPr>
        <w:tc>
          <w:tcPr>
            <w:tcW w:w="460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Метоклопрамид</w:t>
            </w:r>
            <w:proofErr w:type="spellEnd"/>
          </w:p>
        </w:tc>
        <w:tc>
          <w:tcPr>
            <w:tcW w:w="764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6C77E9" w:rsidRPr="00A774F9" w:rsidRDefault="006C77E9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6C77E9" w:rsidRPr="00A774F9" w:rsidTr="00DE06CA">
        <w:trPr>
          <w:cantSplit/>
        </w:trPr>
        <w:tc>
          <w:tcPr>
            <w:tcW w:w="460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DA0ED4" w:rsidRPr="00A774F9" w:rsidTr="00DE06CA">
        <w:trPr>
          <w:cantSplit/>
        </w:trPr>
        <w:tc>
          <w:tcPr>
            <w:tcW w:w="460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DA0ED4" w:rsidRPr="00982137" w:rsidRDefault="00DA0ED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DA0ED4" w:rsidRPr="00982137" w:rsidRDefault="00DA0ED4" w:rsidP="00AA40E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DA0ED4" w:rsidRPr="00982137" w:rsidRDefault="00DA0ED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DA0ED4" w:rsidRPr="00A774F9" w:rsidTr="00DE06CA">
        <w:trPr>
          <w:cantSplit/>
        </w:trPr>
        <w:tc>
          <w:tcPr>
            <w:tcW w:w="460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DA0ED4" w:rsidRPr="00A774F9" w:rsidRDefault="00DA0ED4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DA0ED4" w:rsidRDefault="00DA0ED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DA0ED4" w:rsidRPr="00982137" w:rsidRDefault="00DA0ED4" w:rsidP="00AA40E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DA0ED4" w:rsidRPr="00982137" w:rsidRDefault="00DA0ED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6C77E9" w:rsidRPr="00A774F9" w:rsidTr="00DE06CA">
        <w:trPr>
          <w:cantSplit/>
        </w:trPr>
        <w:tc>
          <w:tcPr>
            <w:tcW w:w="460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6C77E9" w:rsidRPr="00A774F9" w:rsidTr="00DE06CA">
        <w:trPr>
          <w:cantSplit/>
        </w:trPr>
        <w:tc>
          <w:tcPr>
            <w:tcW w:w="460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6C77E9" w:rsidRPr="00A774F9" w:rsidRDefault="006C77E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FC33D5" w:rsidRPr="00A774F9" w:rsidTr="00921AB2">
        <w:trPr>
          <w:cantSplit/>
          <w:trHeight w:val="280"/>
        </w:trPr>
        <w:tc>
          <w:tcPr>
            <w:tcW w:w="460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E3095B">
              <w:rPr>
                <w:szCs w:val="28"/>
                <w:lang w:val="en-US"/>
              </w:rPr>
              <w:t xml:space="preserve">A12AA </w:t>
            </w:r>
          </w:p>
        </w:tc>
        <w:tc>
          <w:tcPr>
            <w:tcW w:w="1056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  <w:proofErr w:type="spellStart"/>
            <w:r w:rsidRPr="00E3095B">
              <w:rPr>
                <w:szCs w:val="28"/>
                <w:lang w:val="en-US"/>
              </w:rPr>
              <w:t>Препараты</w:t>
            </w:r>
            <w:proofErr w:type="spellEnd"/>
            <w:r w:rsidRPr="00E3095B">
              <w:rPr>
                <w:szCs w:val="28"/>
                <w:lang w:val="en-US"/>
              </w:rPr>
              <w:t xml:space="preserve"> </w:t>
            </w:r>
            <w:proofErr w:type="spellStart"/>
            <w:r w:rsidRPr="00E3095B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C33D5" w:rsidRDefault="00FC33D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FC33D5" w:rsidRPr="00A774F9" w:rsidTr="00921AB2">
        <w:trPr>
          <w:cantSplit/>
          <w:trHeight w:val="280"/>
        </w:trPr>
        <w:tc>
          <w:tcPr>
            <w:tcW w:w="460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Кальция </w:t>
            </w:r>
            <w:proofErr w:type="spellStart"/>
            <w:r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FC33D5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FC33D5" w:rsidRPr="00E30B12" w:rsidRDefault="00FC33D5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FC33D5" w:rsidRPr="00A774F9" w:rsidTr="00921AB2">
        <w:trPr>
          <w:cantSplit/>
          <w:trHeight w:val="280"/>
        </w:trPr>
        <w:tc>
          <w:tcPr>
            <w:tcW w:w="460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</w:rPr>
            </w:pPr>
            <w:r w:rsidRPr="002272D2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C33D5" w:rsidRPr="006D4872" w:rsidRDefault="00FC33D5" w:rsidP="006D4872">
            <w:pPr>
              <w:spacing w:after="0" w:line="240" w:lineRule="auto"/>
              <w:rPr>
                <w:szCs w:val="28"/>
              </w:rPr>
            </w:pPr>
            <w:r w:rsidRPr="002272D2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921AB2">
        <w:trPr>
          <w:cantSplit/>
          <w:trHeight w:val="280"/>
        </w:trPr>
        <w:tc>
          <w:tcPr>
            <w:tcW w:w="460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FC33D5" w:rsidRPr="002272D2" w:rsidRDefault="00FC33D5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FC33D5" w:rsidRPr="00A774F9" w:rsidTr="00921AB2">
        <w:trPr>
          <w:cantSplit/>
          <w:trHeight w:val="280"/>
        </w:trPr>
        <w:tc>
          <w:tcPr>
            <w:tcW w:w="460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C33D5" w:rsidRPr="00C33440" w:rsidRDefault="00FC33D5" w:rsidP="003B2D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FC33D5" w:rsidRPr="00A774F9" w:rsidRDefault="00FC33D5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FC33D5" w:rsidRPr="00A774F9" w:rsidRDefault="00DA0ED4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FC33D5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FC33D5" w:rsidRPr="00A774F9" w:rsidRDefault="00FC33D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3B2D98" w:rsidRDefault="00FC33D5" w:rsidP="003B2D98">
            <w:pPr>
              <w:spacing w:after="0" w:line="240" w:lineRule="auto"/>
              <w:rPr>
                <w:szCs w:val="28"/>
              </w:rPr>
            </w:pPr>
            <w:r w:rsidRPr="003B2D98">
              <w:rPr>
                <w:szCs w:val="28"/>
                <w:lang w:val="en-US"/>
              </w:rPr>
              <w:t>C</w:t>
            </w:r>
            <w:r w:rsidRPr="003B2D98">
              <w:rPr>
                <w:szCs w:val="28"/>
              </w:rPr>
              <w:t>01</w:t>
            </w:r>
            <w:r w:rsidRPr="003B2D98">
              <w:rPr>
                <w:szCs w:val="28"/>
                <w:lang w:val="en-US"/>
              </w:rPr>
              <w:t>CA</w:t>
            </w:r>
            <w:r w:rsidRPr="003B2D98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FC33D5" w:rsidRPr="003B2D98" w:rsidRDefault="00FC33D5" w:rsidP="003B2D98">
            <w:pPr>
              <w:spacing w:after="0" w:line="240" w:lineRule="auto"/>
              <w:rPr>
                <w:szCs w:val="28"/>
              </w:rPr>
            </w:pPr>
            <w:r w:rsidRPr="003B2D98">
              <w:rPr>
                <w:szCs w:val="28"/>
              </w:rPr>
              <w:t xml:space="preserve">Адренергические и </w:t>
            </w:r>
            <w:proofErr w:type="spellStart"/>
            <w:r w:rsidRPr="003B2D98">
              <w:rPr>
                <w:szCs w:val="28"/>
              </w:rPr>
              <w:t>дофаминергические</w:t>
            </w:r>
            <w:proofErr w:type="spellEnd"/>
            <w:r w:rsidRPr="003B2D98">
              <w:rPr>
                <w:szCs w:val="28"/>
              </w:rPr>
              <w:t xml:space="preserve"> средства </w:t>
            </w:r>
          </w:p>
        </w:tc>
        <w:tc>
          <w:tcPr>
            <w:tcW w:w="1385" w:type="pct"/>
          </w:tcPr>
          <w:p w:rsidR="00FC33D5" w:rsidRPr="003B2D98" w:rsidRDefault="00FC33D5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FC33D5" w:rsidRPr="0010448F" w:rsidRDefault="00FC33D5" w:rsidP="003B2D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>
              <w:rPr>
                <w:szCs w:val="28"/>
              </w:rPr>
              <w:t>Допамин</w:t>
            </w:r>
            <w:proofErr w:type="spellEnd"/>
          </w:p>
        </w:tc>
        <w:tc>
          <w:tcPr>
            <w:tcW w:w="76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200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C33D5" w:rsidRPr="000A10B6" w:rsidRDefault="00FC33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FC33D5" w:rsidRPr="00D3088E" w:rsidRDefault="00FC33D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C33D5" w:rsidRPr="0097377C" w:rsidRDefault="00FC33D5" w:rsidP="00FC33D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C33D5" w:rsidRPr="0010448F" w:rsidRDefault="00FC33D5" w:rsidP="00FC33D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Димеркаптопропансульфонат</w:t>
            </w:r>
            <w:proofErr w:type="spellEnd"/>
            <w:r w:rsidRPr="00A774F9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FC33D5" w:rsidRPr="00A774F9" w:rsidRDefault="00FC33D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FC33D5" w:rsidRPr="000F23CE" w:rsidRDefault="00FC33D5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FC33D5" w:rsidRPr="00A774F9" w:rsidTr="00DE06CA">
        <w:trPr>
          <w:cantSplit/>
        </w:trPr>
        <w:tc>
          <w:tcPr>
            <w:tcW w:w="460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FC33D5" w:rsidRPr="00A774F9" w:rsidRDefault="00FC33D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827" w:rsidRDefault="00385827" w:rsidP="00AC1859">
      <w:pPr>
        <w:spacing w:after="0" w:line="240" w:lineRule="auto"/>
      </w:pPr>
      <w:r>
        <w:separator/>
      </w:r>
    </w:p>
  </w:endnote>
  <w:endnote w:type="continuationSeparator" w:id="0">
    <w:p w:rsidR="00385827" w:rsidRDefault="00385827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827" w:rsidRDefault="00385827" w:rsidP="00AC1859">
      <w:pPr>
        <w:spacing w:after="0" w:line="240" w:lineRule="auto"/>
      </w:pPr>
      <w:r>
        <w:separator/>
      </w:r>
    </w:p>
  </w:footnote>
  <w:footnote w:type="continuationSeparator" w:id="0">
    <w:p w:rsidR="00385827" w:rsidRDefault="00385827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0448F"/>
    <w:rsid w:val="00105ACC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85827"/>
    <w:rsid w:val="003917AC"/>
    <w:rsid w:val="00395E6A"/>
    <w:rsid w:val="003A3B2D"/>
    <w:rsid w:val="003A7FB8"/>
    <w:rsid w:val="003B2D98"/>
    <w:rsid w:val="003F6AF6"/>
    <w:rsid w:val="004103A5"/>
    <w:rsid w:val="004308C9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747F"/>
    <w:rsid w:val="006C2763"/>
    <w:rsid w:val="006C77E9"/>
    <w:rsid w:val="006D4872"/>
    <w:rsid w:val="006D6FF1"/>
    <w:rsid w:val="006F57F6"/>
    <w:rsid w:val="00705744"/>
    <w:rsid w:val="007239FF"/>
    <w:rsid w:val="0074402C"/>
    <w:rsid w:val="007537E6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4312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50C4"/>
    <w:rsid w:val="009D4342"/>
    <w:rsid w:val="009D567F"/>
    <w:rsid w:val="009E1219"/>
    <w:rsid w:val="009E1843"/>
    <w:rsid w:val="009F45FD"/>
    <w:rsid w:val="00A213F4"/>
    <w:rsid w:val="00A24D5E"/>
    <w:rsid w:val="00A35CFB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D29A3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0ED4"/>
    <w:rsid w:val="00DA1E76"/>
    <w:rsid w:val="00DA4C78"/>
    <w:rsid w:val="00DB61B8"/>
    <w:rsid w:val="00DD2C9F"/>
    <w:rsid w:val="00DE06CA"/>
    <w:rsid w:val="00E026E4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2C7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33D5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61E2-F5DE-4F39-87D0-18D6C9882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594</Words>
  <Characters>4647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88</cp:revision>
  <dcterms:created xsi:type="dcterms:W3CDTF">2012-11-20T12:28:00Z</dcterms:created>
  <dcterms:modified xsi:type="dcterms:W3CDTF">2015-06-22T12:09:00Z</dcterms:modified>
</cp:coreProperties>
</file>