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ОСТРЫМ ПОЛИРАДИКУЛОНЕВРИТОМ НЕЯСНОЙ ЭТИОЛОГИИ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G61.0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Синдром Гийена-Барре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G61.1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Сывороточная невропатия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G61.8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воспалительные полиневропатии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G61.9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Воспалительная полиневропатия неуточненная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Норэпинефрин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Дексаметазон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16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